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C3D" w:rsidRPr="00007229" w:rsidRDefault="00682C3D" w:rsidP="00452BAF">
      <w:pPr>
        <w:pStyle w:val="Corpodeltesto"/>
        <w:spacing w:line="300" w:lineRule="exact"/>
        <w:rPr>
          <w:rFonts w:ascii="Verdana" w:hAnsi="Verdana" w:cs="Verdana"/>
          <w:b/>
          <w:sz w:val="20"/>
          <w:szCs w:val="20"/>
        </w:rPr>
      </w:pPr>
    </w:p>
    <w:p w:rsidR="00682C3D" w:rsidRPr="00007229" w:rsidRDefault="00682C3D" w:rsidP="00452BAF">
      <w:pPr>
        <w:pStyle w:val="Corpodeltesto"/>
        <w:spacing w:line="300" w:lineRule="exact"/>
        <w:rPr>
          <w:rFonts w:ascii="Verdana" w:hAnsi="Verdana" w:cs="Verdana"/>
          <w:b/>
          <w:sz w:val="20"/>
          <w:szCs w:val="20"/>
        </w:rPr>
      </w:pP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AGENZIA FORESTALE REGIONALE</w:t>
      </w: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 xml:space="preserve">PATTO </w:t>
      </w:r>
      <w:proofErr w:type="spellStart"/>
      <w:r w:rsidRPr="008D1CFA">
        <w:rPr>
          <w:rFonts w:ascii="Arial" w:eastAsia="Times New Roman" w:hAnsi="Arial" w:cs="Times New Roman"/>
          <w:sz w:val="20"/>
          <w:szCs w:val="20"/>
          <w:lang w:val="it-IT" w:eastAsia="it-IT"/>
        </w:rPr>
        <w:t>DI</w:t>
      </w:r>
      <w:proofErr w:type="spellEnd"/>
      <w:r w:rsidRPr="008D1CFA">
        <w:rPr>
          <w:rFonts w:ascii="Arial" w:eastAsia="Times New Roman" w:hAnsi="Arial" w:cs="Times New Roman"/>
          <w:sz w:val="20"/>
          <w:szCs w:val="20"/>
          <w:lang w:val="it-IT" w:eastAsia="it-IT"/>
        </w:rPr>
        <w:t xml:space="preserve"> INTEGRIT</w:t>
      </w:r>
      <w:r>
        <w:rPr>
          <w:rFonts w:ascii="Arial" w:eastAsia="Times New Roman" w:hAnsi="Arial" w:cs="Times New Roman"/>
          <w:sz w:val="20"/>
          <w:szCs w:val="20"/>
          <w:lang w:val="it-IT" w:eastAsia="it-IT"/>
        </w:rPr>
        <w:t>A’</w:t>
      </w:r>
    </w:p>
    <w:p w:rsidR="00E0239D" w:rsidRDefault="00912805" w:rsidP="000D2CE8">
      <w:pPr>
        <w:autoSpaceDE w:val="0"/>
        <w:autoSpaceDN w:val="0"/>
        <w:adjustRightInd w:val="0"/>
        <w:spacing w:after="0" w:line="240" w:lineRule="auto"/>
        <w:jc w:val="both"/>
        <w:rPr>
          <w:rFonts w:ascii="Arial" w:hAnsi="Arial"/>
        </w:rPr>
      </w:pPr>
      <w:r w:rsidRPr="00912805">
        <w:rPr>
          <w:rFonts w:ascii="Arial" w:hAnsi="Arial"/>
        </w:rPr>
        <w:t xml:space="preserve">TRA L’AGENZIA FORESTALE REGIONALE E GLI OPERATORI ECONOMICI PARTECIPANTI ALLA PROCEDURA </w:t>
      </w:r>
      <w:r w:rsidR="000D2CE8" w:rsidRPr="000D2CE8">
        <w:rPr>
          <w:rFonts w:ascii="Arial" w:hAnsi="Arial"/>
        </w:rPr>
        <w:t>PER</w:t>
      </w:r>
      <w:r w:rsidR="000D2CE8">
        <w:rPr>
          <w:rFonts w:ascii="Arial" w:hAnsi="Arial"/>
        </w:rPr>
        <w:t xml:space="preserve"> </w:t>
      </w:r>
      <w:r w:rsidR="000D2CE8" w:rsidRPr="000D2CE8">
        <w:rPr>
          <w:rFonts w:ascii="Arial" w:hAnsi="Arial"/>
        </w:rPr>
        <w:t>L'AFFIDAMENTO DEI SERVIZI</w:t>
      </w:r>
      <w:r w:rsidR="000D2CE8">
        <w:rPr>
          <w:rFonts w:ascii="Arial" w:hAnsi="Arial"/>
        </w:rPr>
        <w:t xml:space="preserve"> </w:t>
      </w:r>
      <w:r w:rsidR="000D2CE8" w:rsidRPr="000D2CE8">
        <w:rPr>
          <w:rFonts w:ascii="Arial" w:hAnsi="Arial"/>
        </w:rPr>
        <w:t>ASSICURATIVI DELL'A.FO.R. MEDIANTE PROCEDURA APERTA SOPRASOGLIA EX</w:t>
      </w:r>
      <w:r w:rsidR="000D2CE8">
        <w:rPr>
          <w:rFonts w:ascii="Arial" w:hAnsi="Arial"/>
        </w:rPr>
        <w:t>,</w:t>
      </w:r>
      <w:r w:rsidR="000D2CE8" w:rsidRPr="000D2CE8">
        <w:rPr>
          <w:rFonts w:ascii="Arial" w:hAnsi="Arial"/>
        </w:rPr>
        <w:t xml:space="preserve">ART. 60 DEL D. LGS. 50/2016 E </w:t>
      </w:r>
      <w:proofErr w:type="spellStart"/>
      <w:r w:rsidR="000D2CE8" w:rsidRPr="000D2CE8">
        <w:rPr>
          <w:rFonts w:ascii="Arial" w:hAnsi="Arial"/>
        </w:rPr>
        <w:t>SS.MM.II</w:t>
      </w:r>
      <w:proofErr w:type="spellEnd"/>
      <w:r w:rsidR="000D2CE8" w:rsidRPr="000D2CE8">
        <w:rPr>
          <w:rFonts w:ascii="Arial" w:hAnsi="Arial"/>
        </w:rPr>
        <w:t>. SUDDIVISA IN N. 7 LOTTI TRAMITE</w:t>
      </w:r>
      <w:r w:rsidR="000D2CE8">
        <w:rPr>
          <w:rFonts w:ascii="Arial" w:hAnsi="Arial"/>
        </w:rPr>
        <w:t xml:space="preserve"> </w:t>
      </w:r>
      <w:r w:rsidR="000D2CE8" w:rsidRPr="000D2CE8">
        <w:rPr>
          <w:rFonts w:ascii="Arial" w:hAnsi="Arial"/>
        </w:rPr>
        <w:t>PIATTAFORMA NET4MARKET</w:t>
      </w:r>
    </w:p>
    <w:p w:rsidR="000D2CE8" w:rsidRPr="000D2CE8" w:rsidRDefault="000D2CE8" w:rsidP="000D2CE8">
      <w:pPr>
        <w:autoSpaceDE w:val="0"/>
        <w:autoSpaceDN w:val="0"/>
        <w:adjustRightInd w:val="0"/>
        <w:spacing w:after="0" w:line="240" w:lineRule="auto"/>
        <w:jc w:val="both"/>
        <w:rPr>
          <w:rFonts w:ascii="Arial" w:hAnsi="Arial"/>
        </w:rPr>
      </w:pPr>
    </w:p>
    <w:p w:rsidR="002D4EA4" w:rsidRPr="002B1945" w:rsidRDefault="002D4EA4" w:rsidP="00912805">
      <w:pPr>
        <w:adjustRightInd w:val="0"/>
        <w:jc w:val="both"/>
        <w:rPr>
          <w:rFonts w:ascii="Arial" w:hAnsi="Arial"/>
          <w:lang w:val="it-IT"/>
        </w:rPr>
      </w:pPr>
      <w:r w:rsidRPr="002B1945">
        <w:rPr>
          <w:rFonts w:ascii="Arial" w:hAnsi="Arial"/>
          <w:lang w:val="it-IT"/>
        </w:rPr>
        <w:t>Il presente Patto interessa tutti gli operatori economici che concorrono alle procedure di affidamento di lavori, servizi e forniture ed eseguono contratti in qualità di soggetto appaltatore o concessionario ed è richiamato nei bandi di gara e negli inviti.</w:t>
      </w:r>
    </w:p>
    <w:p w:rsidR="00912805" w:rsidRPr="00B900C5" w:rsidRDefault="002D4EA4" w:rsidP="00912805">
      <w:pPr>
        <w:widowControl w:val="0"/>
        <w:spacing w:after="0"/>
        <w:jc w:val="both"/>
        <w:rPr>
          <w:rFonts w:ascii="Arial" w:hAnsi="Arial"/>
          <w:lang w:val="it-IT"/>
        </w:rPr>
      </w:pPr>
      <w:r w:rsidRPr="002B1945">
        <w:rPr>
          <w:rFonts w:ascii="Arial" w:hAnsi="Arial"/>
          <w:lang w:val="it-IT"/>
        </w:rPr>
        <w:t xml:space="preserve">Il presente Patto, </w:t>
      </w:r>
      <w:r w:rsidR="00912805" w:rsidRPr="008D1CFA">
        <w:rPr>
          <w:rFonts w:ascii="Arial" w:hAnsi="Arial"/>
          <w:lang w:val="it-IT"/>
        </w:rPr>
        <w:t xml:space="preserve">che verrà sottoscritto dal Dirigente competente </w:t>
      </w:r>
      <w:r w:rsidR="00912805">
        <w:rPr>
          <w:rFonts w:ascii="Arial" w:hAnsi="Arial"/>
          <w:lang w:val="it-IT"/>
        </w:rPr>
        <w:t xml:space="preserve">dell’Agenzia Forestale regionale </w:t>
      </w:r>
      <w:r w:rsidR="00912805" w:rsidRPr="008D1CFA">
        <w:rPr>
          <w:rFonts w:ascii="Arial" w:hAnsi="Arial"/>
          <w:lang w:val="it-IT"/>
        </w:rPr>
        <w:t>in sede di sottoscrizione del contratto</w:t>
      </w:r>
      <w:r w:rsidR="00912805">
        <w:rPr>
          <w:rFonts w:ascii="Arial" w:hAnsi="Arial"/>
          <w:lang w:val="it-IT"/>
        </w:rPr>
        <w:t>,</w:t>
      </w:r>
      <w:r w:rsidR="00912805" w:rsidRPr="00B900C5">
        <w:rPr>
          <w:rFonts w:ascii="Arial" w:hAnsi="Arial"/>
          <w:lang w:val="it-IT"/>
        </w:rPr>
        <w:t xml:space="preserve"> deve essere obbligatoriamente sottoscritto in sede di offerta da ciascun partecipante alla gara in oggetto.</w:t>
      </w:r>
    </w:p>
    <w:p w:rsidR="00912805" w:rsidRDefault="00912805" w:rsidP="00912805">
      <w:pPr>
        <w:widowControl w:val="0"/>
        <w:spacing w:after="0" w:line="240" w:lineRule="auto"/>
        <w:jc w:val="center"/>
        <w:rPr>
          <w:rFonts w:ascii="Arial" w:hAnsi="Arial"/>
          <w:lang w:val="it-IT"/>
        </w:rPr>
      </w:pPr>
    </w:p>
    <w:p w:rsidR="00912805" w:rsidRPr="00B900C5" w:rsidRDefault="00912805" w:rsidP="00912805">
      <w:pPr>
        <w:widowControl w:val="0"/>
        <w:spacing w:after="0" w:line="240" w:lineRule="auto"/>
        <w:jc w:val="center"/>
        <w:rPr>
          <w:rFonts w:ascii="Arial" w:hAnsi="Arial"/>
          <w:lang w:val="it-IT"/>
        </w:rPr>
      </w:pPr>
      <w:r>
        <w:rPr>
          <w:rFonts w:ascii="Arial" w:hAnsi="Arial"/>
          <w:lang w:val="it-IT"/>
        </w:rPr>
        <w:t>L’ Agenzia Forestale regionale (di seguito AFOR)</w:t>
      </w:r>
    </w:p>
    <w:p w:rsidR="002D4EA4" w:rsidRPr="002B1945" w:rsidRDefault="002D4EA4" w:rsidP="00912805">
      <w:pPr>
        <w:widowControl w:val="0"/>
        <w:spacing w:line="240" w:lineRule="auto"/>
        <w:jc w:val="both"/>
        <w:rPr>
          <w:rFonts w:ascii="Arial" w:hAnsi="Arial"/>
          <w:lang w:val="it-IT"/>
        </w:rPr>
      </w:pPr>
      <w:r w:rsidRPr="002B1945">
        <w:rPr>
          <w:rFonts w:ascii="Arial" w:hAnsi="Arial"/>
          <w:lang w:val="it-IT"/>
        </w:rPr>
        <w:t>e</w:t>
      </w:r>
    </w:p>
    <w:p w:rsidR="002D4EA4" w:rsidRPr="002B1945" w:rsidRDefault="002D4EA4" w:rsidP="002D4EA4">
      <w:pPr>
        <w:widowControl w:val="0"/>
        <w:jc w:val="center"/>
        <w:rPr>
          <w:rFonts w:ascii="Arial" w:hAnsi="Arial"/>
          <w:lang w:val="it-IT"/>
        </w:rPr>
      </w:pPr>
      <w:r w:rsidRPr="002B1945">
        <w:rPr>
          <w:rFonts w:ascii="Arial" w:hAnsi="Arial"/>
          <w:lang w:val="it-IT"/>
        </w:rPr>
        <w:t>l’Operatore economico</w:t>
      </w:r>
    </w:p>
    <w:p w:rsidR="002D4EA4" w:rsidRPr="006C6161" w:rsidRDefault="002D4EA4" w:rsidP="002D4EA4">
      <w:pPr>
        <w:widowControl w:val="0"/>
        <w:jc w:val="center"/>
        <w:rPr>
          <w:rFonts w:ascii="Arial" w:hAnsi="Arial"/>
          <w:lang w:val="it-IT"/>
        </w:rPr>
      </w:pPr>
      <w:r w:rsidRPr="006C6161">
        <w:rPr>
          <w:rFonts w:ascii="Arial" w:hAnsi="Arial"/>
          <w:lang w:val="it-IT"/>
        </w:rPr>
        <w:t>In osservanza di quanto previsto</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legge 6 novembre 2012 n. 190, art. 1, comma 17 recante “Disposizioni per la prevenzione e la repressione della corruzione e dell'illegalità nella pubblica amministrazione”;</w:t>
      </w:r>
    </w:p>
    <w:p w:rsidR="00912805" w:rsidRPr="00912805" w:rsidRDefault="00912805" w:rsidP="00912805">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 D.P.R. 16 aprile 2013, n. 62 con il quale è stato emanato il “Regolamento recante il</w:t>
      </w:r>
      <w:r w:rsidRPr="008D1CFA">
        <w:rPr>
          <w:rFonts w:ascii="Arial" w:hAnsi="Arial"/>
          <w:lang w:val="it-IT"/>
        </w:rPr>
        <w:t xml:space="preserve"> codice di comportamento dei dipendenti pubblici” e dal Codice di comportamento dei dipendenti </w:t>
      </w:r>
      <w:r>
        <w:rPr>
          <w:rFonts w:ascii="Arial" w:hAnsi="Arial"/>
          <w:lang w:val="it-IT"/>
        </w:rPr>
        <w:t>di AFOR</w:t>
      </w:r>
      <w:r w:rsidRPr="008D1CFA">
        <w:rPr>
          <w:rFonts w:ascii="Arial" w:hAnsi="Arial"/>
          <w:lang w:val="it-IT"/>
        </w:rPr>
        <w:t xml:space="preserve"> approvato con Decreto dell’Amministratore Unico </w:t>
      </w:r>
      <w:r w:rsidRPr="00E520AA">
        <w:rPr>
          <w:rFonts w:ascii="Arial" w:hAnsi="Arial"/>
          <w:lang w:val="it-IT"/>
        </w:rPr>
        <w:t>n. 34 del 31/01/2014;</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determinazione n. 12 del 28 ottobre 2015 dell'ANAC avente ad oggetto l' "Aggiornamento 2015 al Piano Nazionale Anticorruzione" (richiamato nel PNA 2016) nella parte speciale capitolo 1 "Area di rischio contratti pubblici", al punto 4.2.5 "Esemplificazione di possibili misure", dove contempla la "Previsione in tutti i bandi, gli avvisi, le lettere d'invito o nei contratti adottati di una clausola risolutiva del contratto a favore della stazione appaltante in caso di gravi inosservanze delle clausole contenute nei protocolli di legalità o nei patti di integrità";</w:t>
      </w:r>
    </w:p>
    <w:p w:rsidR="002D4EA4" w:rsidRPr="002B1945" w:rsidRDefault="002D4EA4" w:rsidP="002D4EA4">
      <w:pPr>
        <w:widowControl w:val="0"/>
        <w:jc w:val="center"/>
        <w:rPr>
          <w:rFonts w:ascii="Arial" w:hAnsi="Arial"/>
          <w:u w:val="single"/>
          <w:lang w:val="it-IT"/>
        </w:rPr>
      </w:pPr>
      <w:r w:rsidRPr="002B1945">
        <w:rPr>
          <w:rFonts w:ascii="Arial" w:hAnsi="Arial"/>
          <w:lang w:val="it-IT"/>
        </w:rPr>
        <w:t>CONVENGONO QUANTO SEGUE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1 - Ambito di applicazione</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 xml:space="preserve">1. Il presente Patto di integrità costituisce parte integrante e sostanziale della gara in oggetto e regola i comportamenti che vengono posti in essere dall'Operatore economico, dai dipendenti e dagli amministratori </w:t>
      </w:r>
      <w:r>
        <w:rPr>
          <w:rFonts w:ascii="Arial" w:hAnsi="Arial"/>
          <w:lang w:val="it-IT"/>
        </w:rPr>
        <w:t>di AFOR</w:t>
      </w:r>
      <w:r w:rsidRPr="00B900C5">
        <w:rPr>
          <w:rFonts w:ascii="Arial" w:hAnsi="Arial"/>
          <w:lang w:val="it-IT"/>
        </w:rPr>
        <w:t xml:space="preserve"> con riferimento al presente affidamento.</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2. Esso stabilisce la reciproca, formale obbligazione tra le parti di improntare i propri comportamenti ai principi di lealtà, trasparenza e correttezza, nonché l'espresso impegno anticorruzione di non offrire, accettare o richiedere somme di denaro o qualsiasi altra ricompensa, vantaggio o beneficio, sia direttamente, sia indirettamente, al fine dell’assegnazione del contratto e/o al fine di distorcerne la corretta esecuzione.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lastRenderedPageBreak/>
        <w:t xml:space="preserve">3. Il Patto di integrità costituisce parte integrante dei contratti </w:t>
      </w:r>
      <w:r>
        <w:rPr>
          <w:rFonts w:ascii="Arial" w:hAnsi="Arial"/>
          <w:lang w:val="it-IT"/>
        </w:rPr>
        <w:t xml:space="preserve">di AFOR </w:t>
      </w:r>
      <w:r w:rsidRPr="00B900C5">
        <w:rPr>
          <w:rFonts w:ascii="Arial" w:hAnsi="Arial"/>
          <w:lang w:val="it-IT"/>
        </w:rPr>
        <w:t xml:space="preserve">relativi a lavori, servizi e forniture. L'espressa accettazione dello stesso costituisce condizione di ammissione alle procedure di gara nonché per l'eventuale iscrizione all'Albo/Elenco Fornitori. Tale condizione deve essere prevista nei bandi di gara e nelle lettere d'invito. Per i concorrenti </w:t>
      </w:r>
      <w:proofErr w:type="spellStart"/>
      <w:r w:rsidRPr="00B900C5">
        <w:rPr>
          <w:rFonts w:ascii="Arial" w:hAnsi="Arial"/>
          <w:lang w:val="it-IT"/>
        </w:rPr>
        <w:t>plurisoggettivi</w:t>
      </w:r>
      <w:proofErr w:type="spellEnd"/>
      <w:r w:rsidRPr="00B900C5">
        <w:rPr>
          <w:rFonts w:ascii="Arial" w:hAnsi="Arial"/>
          <w:lang w:val="it-IT"/>
        </w:rPr>
        <w:t xml:space="preserve"> l'obbligo riguarda tutti i componenti. In ogni contratto sottoscritto tra </w:t>
      </w:r>
      <w:r>
        <w:rPr>
          <w:rFonts w:ascii="Arial" w:hAnsi="Arial"/>
          <w:lang w:val="it-IT"/>
        </w:rPr>
        <w:t xml:space="preserve"> AFOR </w:t>
      </w:r>
      <w:r w:rsidRPr="00B900C5">
        <w:rPr>
          <w:rFonts w:ascii="Arial" w:hAnsi="Arial"/>
          <w:lang w:val="it-IT"/>
        </w:rPr>
        <w:t>e l'Operatore economico deve comunque essere attestata, da parte di quest'ultimo, la conoscenza e l'impegno a rispettare le norme del presente atto.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2 - Obblighi dell'operatore economico</w:t>
      </w:r>
    </w:p>
    <w:p w:rsidR="00912805" w:rsidRPr="00B900C5" w:rsidRDefault="00912805" w:rsidP="00912805">
      <w:pPr>
        <w:widowControl w:val="0"/>
        <w:jc w:val="both"/>
        <w:rPr>
          <w:rFonts w:ascii="Arial" w:hAnsi="Arial"/>
          <w:lang w:val="it-IT"/>
        </w:rPr>
      </w:pPr>
      <w:r w:rsidRPr="00B900C5">
        <w:rPr>
          <w:rFonts w:ascii="Arial" w:hAnsi="Arial"/>
          <w:lang w:val="it-IT"/>
        </w:rPr>
        <w:t>1. L'Operatore economico:</w:t>
      </w:r>
    </w:p>
    <w:p w:rsidR="00912805" w:rsidRPr="00B900C5" w:rsidRDefault="00912805" w:rsidP="00912805">
      <w:pPr>
        <w:widowControl w:val="0"/>
        <w:spacing w:after="120"/>
        <w:ind w:left="357"/>
        <w:jc w:val="both"/>
        <w:rPr>
          <w:rFonts w:ascii="Arial" w:hAnsi="Arial"/>
          <w:lang w:val="it-IT"/>
        </w:rPr>
      </w:pPr>
      <w:r w:rsidRPr="00B900C5">
        <w:rPr>
          <w:rFonts w:ascii="Arial" w:hAnsi="Arial"/>
          <w:lang w:val="it-IT"/>
        </w:rPr>
        <w:t>1.1 si impegna al rispetto del Patto di integrità;</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agisce nel rispetto dei principi di buona fede, correttezza professionale, lealtà nei confronti </w:t>
      </w:r>
      <w:r>
        <w:rPr>
          <w:rFonts w:ascii="Arial" w:hAnsi="Arial"/>
          <w:lang w:val="it-IT"/>
        </w:rPr>
        <w:t>di AFOR</w:t>
      </w:r>
      <w:r w:rsidRPr="00B900C5">
        <w:rPr>
          <w:rFonts w:ascii="Arial" w:hAnsi="Arial"/>
          <w:lang w:val="it-IT"/>
        </w:rPr>
        <w:t xml:space="preserve"> e degli altri concorrenti;</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1.3 dichiara di non avere influenzato il procedimento amministrativo diretto a stabilire il contenuto del bando o di altro atto equipollente al fine di condizionare le modalità di scelta del contraente da parte dell’Amministrazione aggiudicatrice e di non aver corrisposto né promesso di corrispondere ad alcuno – e s’impegna a non corrispondere né promettere di corrispondere ad alcuno – direttamente o tramite terzi, ivi compresi i soggetti collegati o controllati, somme di denaro o altra utilità finalizzate a facilitare l’aggiudicazione e/o la gestione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1.4 dichiara, con riferimento alla specifica procedura di affidamento o iscrizione all'Albo/Elenco Fornitori, ove costituito, di non avere in corso né di avere praticato intese e/o pratiche restrittive della concorrenza e del mercato vietate ai sensi della normative vigente, ivi inclusi gli artt. 101 e segg. del Trattato sul Funzionamento dell’Unione Europea (TFUE) e gli artt. 2 e segg. della legge 287/1990, e che l’offerta è stata predisposta nel pieno rispetto della predetta normativa; dichiara altresì, che non si è accordato e non si accorderà con altri partecipanti alle procedure per limitare con mezzi illeciti la concorrenza;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1.5 si impegna a segnalare alla Stazione appaltante e all’Autorità giudiziaria o agli Organi di polizia qualsiasi illecito tentativo da parte di terzi di turbare o distorcere le fasi di svolgimento della procedura di affidamento e/o l’esecuzione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1.6 si impegna a riferire tempestivamente alla Stazione appaltante e all’Autorità giudiziaria ogni illecita richiesta di danaro, prestazione o altra utilità, ovvero offerta di protezione o pretesa, che venga avanzata da parte dei dipendenti dell’amministrazione o di chiunque possa influenzare le decisioni relative alla procedura di affidamento o all’esecuzione del contratto, nei confronti di un proprio rappresentante, agente o dipendente. Analogo obbligo verrà assunto dalle imprese subappaltatrici e da ogni altro soggetto che intervenga a qualunque titolo nell'esecuzione del contratto. Il contratto dovrà recepire tale obbligo, che non è in ogni caso sostitutivo dell'obbligo di denuncia all'Autorità giudiziaria dei fatti attraverso i quali sia stata posta in essere la pressione estorsiva ed ogni altra forma di illecita interferenza;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1.7 si impegna a dare comunicazione tempestiva alla Stazione appaltante e alla Prefettura, di tentativi di concussione che si siano, in qualsiasi modo, manifestati nei confronti dell'imprenditore, degli organi sociali o dei dirigenti d'impresa.</w:t>
      </w:r>
      <w:r w:rsidRPr="00B900C5">
        <w:rPr>
          <w:lang w:val="it-IT"/>
        </w:rPr>
        <w:t xml:space="preserve"> </w:t>
      </w:r>
      <w:r w:rsidRPr="00B900C5">
        <w:rPr>
          <w:rFonts w:ascii="Arial" w:hAnsi="Arial"/>
          <w:lang w:val="it-IT"/>
        </w:rPr>
        <w:t xml:space="preserve">Le segnalazioni alla </w:t>
      </w:r>
      <w:r w:rsidRPr="00B900C5">
        <w:rPr>
          <w:rFonts w:ascii="Arial" w:hAnsi="Arial"/>
          <w:lang w:val="it-IT"/>
        </w:rPr>
        <w:lastRenderedPageBreak/>
        <w:t>Stazione appaltante relative al presente obbligo e ai precedenti indicati ai punti 1.5 e 1.6 potranno essere indirizzate direttamente al Responsabile per la Prevenzione della Corruzione, oltre al Responsabile unico del Procedimento;</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 xml:space="preserve">1.8 si impegna ad acquisire preventiva autorizzazione da parte della Stazione appaltante per tutti i subappalti/sub affidamenti. Nelle fasi successive all'aggiudicazione gli obblighi del presente Patto si intendono riferiti all'aggiudicatario, il quale avrà l'onere di pretenderne il rispetto anche da parte dei subcontraenti. Per tale motivo dovrà essere inserita apposita clausola nei contratti stipulati dall'appaltatore con i propri subcontraenti in ordine al rispetto del presente Patto di integrità e del Codice di comportamento dei dipendenti </w:t>
      </w:r>
      <w:r>
        <w:rPr>
          <w:rFonts w:ascii="Arial" w:hAnsi="Arial"/>
          <w:lang w:val="it-IT"/>
        </w:rPr>
        <w:t>dio AFOR,</w:t>
      </w:r>
      <w:r w:rsidRPr="00B900C5">
        <w:rPr>
          <w:rFonts w:ascii="Arial" w:hAnsi="Arial"/>
          <w:lang w:val="it-IT"/>
        </w:rPr>
        <w:t xml:space="preserve"> pena la mancata autorizzazione del subappalto.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3 - Obblighi della Stazione appaltante</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La Stazione appaltante: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1.1 si impegna a comunicare i dati più rilevanti riguardanti la gara, così come previsto ai sensi di legge;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dell’art. 14 del D.P.R. 16.04.2013, n. 62 e del Codice di comportamento dei dipendenti </w:t>
      </w:r>
      <w:r>
        <w:rPr>
          <w:rFonts w:ascii="Arial" w:hAnsi="Arial"/>
          <w:lang w:val="it-IT"/>
        </w:rPr>
        <w:t>di AFOR</w:t>
      </w:r>
      <w:r w:rsidRPr="00B900C5">
        <w:rPr>
          <w:rFonts w:ascii="Arial" w:hAnsi="Arial"/>
          <w:lang w:val="it-IT"/>
        </w:rPr>
        <w:t xml:space="preserve"> o di prescrizioni analoghe per i soggetti non tenuti all’applicazione degli stessi;</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1.3 si impegna ad avvalersi della clausola risolutiva espressa, di cui all'art. 1456 c.c., ogni qualvolta nei confronti dell'imprenditore o dei componenti la compagine sociale, o dei dirigenti d'impresa, sia stata disposta misura cautelare o sia intervenuto rinvio a giudizio per taluno dei delitti di cui agli artt. 317, 318, 319, 319-bis, 319-ter, 319-quater, 320, 322, 322-bis, 346-bis, 353, 353-bis del codice penale.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4 - Violazione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Nel caso di violazioni delle norme riportate nel Patto di integrità da parte dell'Operatore economico, sia in veste di concorrente che di aggiudicatario, potranno essere applicate in relazione alla gravità della violazione, fatte salve specifiche ulteriori previsioni di legge, anche in via cumulativa, le seguenti sanzioni: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esclusione dalla procedura di affidamento;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revoca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dell'aggiudicazione</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risoluzione</w:t>
      </w:r>
      <w:proofErr w:type="spellEnd"/>
      <w:r w:rsidRPr="00B900C5">
        <w:rPr>
          <w:rFonts w:ascii="Arial" w:eastAsia="Times New Roman" w:hAnsi="Arial"/>
          <w:lang w:eastAsia="it-IT"/>
        </w:rPr>
        <w:t xml:space="preserve"> del </w:t>
      </w:r>
      <w:proofErr w:type="spellStart"/>
      <w:r w:rsidRPr="00B900C5">
        <w:rPr>
          <w:rFonts w:ascii="Arial" w:eastAsia="Times New Roman" w:hAnsi="Arial"/>
          <w:lang w:eastAsia="it-IT"/>
        </w:rPr>
        <w:t>contratto</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incameramento della cauzione provvisoria per la partecipazione alla gara e della cauzione definitiva per l'esecuzione del contratto;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esclusione per tre anni dalla partecipazione a gare indette </w:t>
      </w:r>
      <w:r>
        <w:rPr>
          <w:rFonts w:ascii="Arial" w:eastAsia="Times New Roman" w:hAnsi="Arial"/>
          <w:lang w:val="it-IT" w:eastAsia="it-IT"/>
        </w:rPr>
        <w:t>da AFOR;</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cancellazione dall'Albo/Elenco fornitori dell'Ente, ove costituito, per tre anni;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segnalazione all'ANAC per l'iscrizione nel casellario informatico e alle competenti Autorità;</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nel caso di responsabilità per danno arrecato </w:t>
      </w:r>
      <w:r>
        <w:rPr>
          <w:rFonts w:ascii="Arial" w:eastAsia="Times New Roman" w:hAnsi="Arial"/>
          <w:lang w:val="it-IT" w:eastAsia="it-IT"/>
        </w:rPr>
        <w:t>ad AFOR</w:t>
      </w:r>
      <w:r w:rsidRPr="00B900C5">
        <w:rPr>
          <w:rFonts w:ascii="Arial" w:eastAsia="Times New Roman" w:hAnsi="Arial"/>
          <w:lang w:val="it-IT" w:eastAsia="it-IT"/>
        </w:rPr>
        <w:t xml:space="preserve"> e/o agli altri operatori economici, applicazione di una penale nella misura fino al 5% del valore del contratto in relazione alla gravità della violazione, impregiudicata la prova dell'esistenza di un maggiore </w:t>
      </w:r>
      <w:r w:rsidRPr="00B900C5">
        <w:rPr>
          <w:rFonts w:ascii="Arial" w:eastAsia="Times New Roman" w:hAnsi="Arial"/>
          <w:lang w:val="it-IT" w:eastAsia="it-IT"/>
        </w:rPr>
        <w:lastRenderedPageBreak/>
        <w:t>danno;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risoluzione espressa del contratto, ai sensi dell'art. 1456 c.c., a seguito dell'esito </w:t>
      </w:r>
      <w:proofErr w:type="spellStart"/>
      <w:r w:rsidRPr="00B900C5">
        <w:rPr>
          <w:rFonts w:ascii="Arial" w:eastAsia="Times New Roman" w:hAnsi="Arial"/>
          <w:lang w:val="it-IT" w:eastAsia="it-IT"/>
        </w:rPr>
        <w:t>interdittivo</w:t>
      </w:r>
      <w:proofErr w:type="spellEnd"/>
      <w:r w:rsidRPr="00B900C5">
        <w:rPr>
          <w:rFonts w:ascii="Arial" w:eastAsia="Times New Roman" w:hAnsi="Arial"/>
          <w:lang w:val="it-IT" w:eastAsia="it-IT"/>
        </w:rPr>
        <w:t xml:space="preserve"> delle informative antimafia, di cui all'art. 84 del </w:t>
      </w:r>
      <w:proofErr w:type="spellStart"/>
      <w:r w:rsidRPr="00B900C5">
        <w:rPr>
          <w:rFonts w:ascii="Arial" w:eastAsia="Times New Roman" w:hAnsi="Arial"/>
          <w:lang w:val="it-IT" w:eastAsia="it-IT"/>
        </w:rPr>
        <w:t>D.Lgs.</w:t>
      </w:r>
      <w:proofErr w:type="spellEnd"/>
      <w:r w:rsidRPr="00B900C5">
        <w:rPr>
          <w:rFonts w:ascii="Arial" w:eastAsia="Times New Roman" w:hAnsi="Arial"/>
          <w:lang w:val="it-IT" w:eastAsia="it-IT"/>
        </w:rPr>
        <w:t xml:space="preserve"> 159/2011. In tal caso sarà applicata una penale a titolo di liquidazione forfettaria dei danni nella misura del 10% del valore del contratto, salvo il maggior danno. Le somme provenienti dall'applicazione di eventuali penali sono affidate in custodia all'appaltatore e destinate all'attuazione di misure incrementali della sicurezza dell'intervento, secondo le indicazioni che le Prefetture faranno all'uopo pervenire;</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l'inadempimento dell'obbligo di cui all'art. 2, punto 1.7 darà luogo alla risoluzione espressa del contratto, ai sensi dell'art. 1456 c.c., ogni qualvolta nei confronti di pubblici amministratori che abbiano esercitato funzioni relative alla stipula ed esecuzione del contratto, sia stata disposta misura cautelare o sia intervenuto rinvio a giudizio per il delitto previsto dall'art. </w:t>
      </w:r>
      <w:r w:rsidRPr="00B900C5">
        <w:rPr>
          <w:rFonts w:ascii="Arial" w:eastAsia="Times New Roman" w:hAnsi="Arial"/>
          <w:lang w:eastAsia="it-IT"/>
        </w:rPr>
        <w:t xml:space="preserve">317 </w:t>
      </w:r>
      <w:proofErr w:type="spellStart"/>
      <w:r w:rsidRPr="00B900C5">
        <w:rPr>
          <w:rFonts w:ascii="Arial" w:eastAsia="Times New Roman" w:hAnsi="Arial"/>
          <w:lang w:eastAsia="it-IT"/>
        </w:rPr>
        <w:t>c.p</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nel caso di inadempimento dell'obbligo di cui all'art. 2, punto 1.7 e nel caso previsto all'art. 3, punto 1.3, l'esercizio della potestà risolutoria da parte della Stazione appaltante è subordinato alla previa intesa con l'Autorità Nazionale Anticorruzione. A tal fine, la Prefettura competente, avuta comunicazione da parte della Stazione appaltante della volontà di quest'ultima di avvalersi della clausola risolutiva espressa di cui all'art. 1456 c.c., ne darà comunicazione all'Autorità Nazionale Anticorruzione, che potrà valutare se, in alternativa all'ipotesi risolutoria, ricorrano i presupposti per la prosecuzione del rapporto contrattuale tra Stazione appaltante e impresa aggiudicataria, alle condizioni di cui all'art. </w:t>
      </w:r>
      <w:r w:rsidRPr="00B900C5">
        <w:rPr>
          <w:rFonts w:ascii="Arial" w:eastAsia="Times New Roman" w:hAnsi="Arial"/>
          <w:lang w:eastAsia="it-IT"/>
        </w:rPr>
        <w:t xml:space="preserve">32 del D.L. 90/2014, </w:t>
      </w:r>
      <w:proofErr w:type="spellStart"/>
      <w:r w:rsidRPr="00B900C5">
        <w:rPr>
          <w:rFonts w:ascii="Arial" w:eastAsia="Times New Roman" w:hAnsi="Arial"/>
          <w:lang w:eastAsia="it-IT"/>
        </w:rPr>
        <w:t>convertito</w:t>
      </w:r>
      <w:proofErr w:type="spellEnd"/>
      <w:r w:rsidRPr="00B900C5">
        <w:rPr>
          <w:rFonts w:ascii="Arial" w:eastAsia="Times New Roman" w:hAnsi="Arial"/>
          <w:lang w:eastAsia="it-IT"/>
        </w:rPr>
        <w:t xml:space="preserve"> con </w:t>
      </w:r>
      <w:proofErr w:type="spellStart"/>
      <w:r w:rsidRPr="00B900C5">
        <w:rPr>
          <w:rFonts w:ascii="Arial" w:eastAsia="Times New Roman" w:hAnsi="Arial"/>
          <w:lang w:eastAsia="it-IT"/>
        </w:rPr>
        <w:t>modificazioni</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nella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legge</w:t>
      </w:r>
      <w:proofErr w:type="spellEnd"/>
      <w:r w:rsidRPr="00B900C5">
        <w:rPr>
          <w:rFonts w:ascii="Arial" w:eastAsia="Times New Roman" w:hAnsi="Arial"/>
          <w:lang w:eastAsia="it-IT"/>
        </w:rPr>
        <w:t xml:space="preserve"> 114/2014;</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u w:val="single"/>
          <w:lang w:val="it-IT" w:eastAsia="it-IT"/>
        </w:rPr>
      </w:pPr>
      <w:r w:rsidRPr="00B900C5">
        <w:rPr>
          <w:rFonts w:ascii="Arial" w:eastAsia="Times New Roman" w:hAnsi="Arial"/>
          <w:lang w:val="it-IT" w:eastAsia="it-IT"/>
        </w:rPr>
        <w:t>la Stazione appaltante si riserva di valutare gli ulteriori ed eventuali elementi comunicati dalle Prefetture ai sensi dell'art. 1-septies del D.L. 6 settembre 1982, n. 629, convertito nella legge 12 ottobre 1982, n. 726, e successive integrazioni – ai fini del gradimento dell'impresa sub-affidataria, ai soli fini delle valutazioni circa l'opportunità della prosecuzione di un'attività imprenditoriale soggetta a controllo pubblico.</w:t>
      </w:r>
    </w:p>
    <w:p w:rsidR="00912805" w:rsidRPr="00B900C5" w:rsidRDefault="00912805" w:rsidP="00912805">
      <w:pPr>
        <w:widowControl w:val="0"/>
        <w:jc w:val="both"/>
        <w:rPr>
          <w:rFonts w:ascii="Arial" w:eastAsia="Calibri" w:hAnsi="Arial"/>
          <w:lang w:val="it-IT" w:eastAsia="zh-CN"/>
        </w:rPr>
      </w:pPr>
      <w:r w:rsidRPr="00B900C5">
        <w:rPr>
          <w:rFonts w:ascii="Arial" w:hAnsi="Arial"/>
          <w:u w:val="single"/>
          <w:lang w:val="it-IT"/>
        </w:rPr>
        <w:t>Articolo 5 - Controversie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t xml:space="preserve">1. Ogni controversia relativa all'interpretazione e all'esecuzione del Patto di integrità fra la Stazione appaltante e i concorrenti o fra gli stessi concorrenti sarà risolta dall'Autorità giudiziaria del Foro di </w:t>
      </w:r>
      <w:r>
        <w:rPr>
          <w:rFonts w:ascii="Arial" w:hAnsi="Arial"/>
          <w:lang w:val="it-IT"/>
        </w:rPr>
        <w:t>Perugia</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6 - Efficacia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Il presente Patto di integrità e le sanzioni in esso correlate resteranno in vigore fino alla completa esecuzione del contratto conseguente ad ogni singola procedura di affidamento.</w:t>
      </w:r>
    </w:p>
    <w:p w:rsidR="00912805" w:rsidRPr="00B900C5" w:rsidRDefault="00912805" w:rsidP="00912805">
      <w:pPr>
        <w:widowControl w:val="0"/>
        <w:jc w:val="both"/>
        <w:rPr>
          <w:rFonts w:ascii="Arial" w:hAnsi="Arial"/>
          <w:lang w:val="it-IT"/>
        </w:rPr>
      </w:pPr>
      <w:r w:rsidRPr="00B900C5">
        <w:rPr>
          <w:rFonts w:ascii="Arial" w:hAnsi="Arial"/>
          <w:lang w:val="it-IT"/>
        </w:rPr>
        <w:t>Data..........................</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per l’operatore economico</w:t>
      </w:r>
    </w:p>
    <w:p w:rsidR="00912805" w:rsidRPr="00B900C5" w:rsidRDefault="00912805" w:rsidP="00912805">
      <w:pPr>
        <w:widowControl w:val="0"/>
        <w:ind w:left="5313" w:firstLine="351"/>
        <w:jc w:val="both"/>
        <w:rPr>
          <w:rFonts w:ascii="Arial" w:hAnsi="Arial"/>
          <w:lang w:val="it-IT"/>
        </w:rPr>
      </w:pPr>
      <w:r w:rsidRPr="00B900C5">
        <w:rPr>
          <w:rFonts w:ascii="Arial" w:hAnsi="Arial"/>
          <w:lang w:val="it-IT"/>
        </w:rPr>
        <w:t>......................................................</w:t>
      </w:r>
    </w:p>
    <w:p w:rsidR="00912805" w:rsidRDefault="00912805" w:rsidP="00912805">
      <w:pPr>
        <w:pStyle w:val="PlainText"/>
        <w:widowControl/>
        <w:ind w:left="4956" w:firstLine="708"/>
        <w:rPr>
          <w:rFonts w:ascii="Arial" w:hAnsi="Arial"/>
        </w:rPr>
      </w:pPr>
      <w:r>
        <w:rPr>
          <w:rFonts w:ascii="Arial" w:hAnsi="Arial"/>
          <w:sz w:val="22"/>
          <w:szCs w:val="22"/>
        </w:rPr>
        <w:t xml:space="preserve">Per AFOR </w:t>
      </w:r>
      <w:r w:rsidRPr="00B900C5">
        <w:rPr>
          <w:rFonts w:ascii="Arial" w:hAnsi="Arial"/>
        </w:rPr>
        <w:t>Il DIRIGENTE</w:t>
      </w:r>
    </w:p>
    <w:p w:rsidR="00912805" w:rsidRPr="00912805" w:rsidRDefault="00912805" w:rsidP="00912805">
      <w:pPr>
        <w:pStyle w:val="PlainText"/>
        <w:widowControl/>
        <w:rPr>
          <w:rFonts w:ascii="Arial" w:hAnsi="Arial"/>
          <w:sz w:val="22"/>
          <w:szCs w:val="22"/>
        </w:rPr>
      </w:pPr>
      <w:r w:rsidRPr="00912805">
        <w:rPr>
          <w:rFonts w:ascii="Arial" w:hAnsi="Arial" w:cs="Arial"/>
          <w:b/>
          <w:sz w:val="22"/>
          <w:szCs w:val="22"/>
        </w:rPr>
        <w:t>N.B.</w:t>
      </w:r>
    </w:p>
    <w:p w:rsidR="00726439" w:rsidRPr="00912805" w:rsidRDefault="00912805" w:rsidP="002D4EA4">
      <w:pPr>
        <w:pStyle w:val="Corpodeltesto"/>
        <w:spacing w:line="300" w:lineRule="exact"/>
        <w:rPr>
          <w:rFonts w:ascii="Arial" w:hAnsi="Arial" w:cs="Arial"/>
          <w:b/>
          <w:sz w:val="22"/>
          <w:szCs w:val="22"/>
          <w:lang w:val="it-IT"/>
        </w:rPr>
      </w:pPr>
      <w:r w:rsidRPr="00E520AA">
        <w:rPr>
          <w:rFonts w:ascii="Arial" w:hAnsi="Arial" w:cs="Arial"/>
          <w:sz w:val="18"/>
          <w:szCs w:val="18"/>
        </w:rPr>
        <w:t>Il presente patto d’integrità deve essere obbligatoriamente sottoscritto e presentato insieme all’offerta da ciascun partecipante alla gara</w:t>
      </w:r>
    </w:p>
    <w:sectPr w:rsidR="00726439" w:rsidRPr="00912805">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NewAster">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bullet"/>
      <w:lvlText w:val=""/>
      <w:lvlJc w:val="left"/>
      <w:pPr>
        <w:tabs>
          <w:tab w:val="num" w:pos="0"/>
        </w:tabs>
        <w:ind w:left="720" w:hanging="360"/>
      </w:pPr>
      <w:rPr>
        <w:rFonts w:ascii="Symbol" w:hAnsi="Symbol" w:cs="Symbol" w:hint="default"/>
      </w:rPr>
    </w:lvl>
  </w:abstractNum>
  <w:abstractNum w:abstractNumId="1">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nsid w:val="2BCE46D7"/>
    <w:multiLevelType w:val="hybridMultilevel"/>
    <w:tmpl w:val="C250E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8F84EE2"/>
    <w:multiLevelType w:val="multilevel"/>
    <w:tmpl w:val="328C6D06"/>
    <w:lvl w:ilvl="0">
      <w:start w:val="1"/>
      <w:numFmt w:val="decimal"/>
      <w:lvlText w:val="%1)"/>
      <w:lvlJc w:val="left"/>
      <w:pPr>
        <w:tabs>
          <w:tab w:val="num" w:pos="720"/>
        </w:tabs>
        <w:ind w:left="720" w:hanging="360"/>
      </w:pPr>
      <w:rPr>
        <w:rFonts w:ascii="Verdana" w:hAnsi="Verdana" w:cs="Verdana" w:hint="default"/>
        <w:i w:val="0"/>
        <w:iCs w:val="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nsid w:val="3B6136F1"/>
    <w:multiLevelType w:val="hybridMultilevel"/>
    <w:tmpl w:val="D618E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3946705"/>
    <w:multiLevelType w:val="hybridMultilevel"/>
    <w:tmpl w:val="DE224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9283C4F"/>
    <w:multiLevelType w:val="hybridMultilevel"/>
    <w:tmpl w:val="B3684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lvlOverride w:ilvl="0"/>
  </w:num>
  <w:num w:numId="7">
    <w:abstractNumId w:val="1"/>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compat>
    <w:applyBreakingRules/>
    <w:useFELayout/>
  </w:compat>
  <w:rsids>
    <w:rsidRoot w:val="00C41632"/>
    <w:rsid w:val="00007229"/>
    <w:rsid w:val="00016970"/>
    <w:rsid w:val="000576E2"/>
    <w:rsid w:val="000D2CE8"/>
    <w:rsid w:val="000D3F90"/>
    <w:rsid w:val="001314C4"/>
    <w:rsid w:val="001946B9"/>
    <w:rsid w:val="001F7CF1"/>
    <w:rsid w:val="002631E4"/>
    <w:rsid w:val="002B1945"/>
    <w:rsid w:val="002D4EA4"/>
    <w:rsid w:val="003A2EA2"/>
    <w:rsid w:val="00423FA2"/>
    <w:rsid w:val="00452BAF"/>
    <w:rsid w:val="005D208D"/>
    <w:rsid w:val="00600758"/>
    <w:rsid w:val="00682C3D"/>
    <w:rsid w:val="00687BC9"/>
    <w:rsid w:val="006C6161"/>
    <w:rsid w:val="006F2FB7"/>
    <w:rsid w:val="00726439"/>
    <w:rsid w:val="00727A59"/>
    <w:rsid w:val="00912805"/>
    <w:rsid w:val="00A57A18"/>
    <w:rsid w:val="00A83F07"/>
    <w:rsid w:val="00B7645A"/>
    <w:rsid w:val="00BB0BD5"/>
    <w:rsid w:val="00BC6108"/>
    <w:rsid w:val="00BE0A26"/>
    <w:rsid w:val="00C41632"/>
    <w:rsid w:val="00CB228E"/>
    <w:rsid w:val="00DB59F3"/>
    <w:rsid w:val="00DC61D5"/>
    <w:rsid w:val="00E0239D"/>
    <w:rsid w:val="00EE532A"/>
    <w:rsid w:val="00F90A50"/>
    <w:rsid w:val="00FB4EA7"/>
    <w:rsid w:val="00FD5E8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pPr>
      <w:spacing w:after="160" w:line="259" w:lineRule="auto"/>
    </w:pPr>
    <w:rPr>
      <w:sz w:val="22"/>
      <w:szCs w:val="22"/>
      <w:lang w:val="en-US" w:eastAsia="ja-JP"/>
    </w:rPr>
  </w:style>
  <w:style w:type="paragraph" w:styleId="Titolo1">
    <w:name w:val="heading 1"/>
    <w:basedOn w:val="Normale"/>
    <w:next w:val="Normale"/>
    <w:link w:val="Titolo1Carattere"/>
    <w:uiPriority w:val="9"/>
    <w:qFormat/>
    <w:pPr>
      <w:keepNext/>
      <w:keepLines/>
      <w:spacing w:before="240" w:after="0"/>
      <w:outlineLvl w:val="0"/>
    </w:pPr>
    <w:rPr>
      <w:rFonts w:ascii="Calibri Light" w:hAnsi="Calibri Light" w:cs="Times New Roman"/>
      <w:color w:val="2E74B5"/>
      <w:sz w:val="32"/>
      <w:szCs w:val="32"/>
      <w:lang/>
    </w:rPr>
  </w:style>
  <w:style w:type="paragraph" w:styleId="Titolo2">
    <w:name w:val="heading 2"/>
    <w:basedOn w:val="Normale"/>
    <w:next w:val="Normale"/>
    <w:link w:val="Titolo2Carattere"/>
    <w:uiPriority w:val="9"/>
    <w:qFormat/>
    <w:pPr>
      <w:keepNext/>
      <w:keepLines/>
      <w:spacing w:before="40" w:after="0"/>
      <w:outlineLvl w:val="1"/>
    </w:pPr>
    <w:rPr>
      <w:rFonts w:ascii="Calibri Light" w:hAnsi="Calibri Light" w:cs="Times New Roman"/>
      <w:color w:val="2E74B5"/>
      <w:sz w:val="28"/>
      <w:szCs w:val="28"/>
      <w:lang/>
    </w:rPr>
  </w:style>
  <w:style w:type="paragraph" w:styleId="Titolo3">
    <w:name w:val="heading 3"/>
    <w:basedOn w:val="Normale"/>
    <w:next w:val="Normale"/>
    <w:link w:val="Titolo3Carattere"/>
    <w:uiPriority w:val="9"/>
    <w:qFormat/>
    <w:pPr>
      <w:keepNext/>
      <w:keepLines/>
      <w:spacing w:before="40" w:after="0"/>
      <w:outlineLvl w:val="2"/>
    </w:pPr>
    <w:rPr>
      <w:rFonts w:ascii="Calibri Light" w:hAnsi="Calibri Light" w:cs="Times New Roman"/>
      <w:color w:val="1F4E79"/>
      <w:sz w:val="24"/>
      <w:szCs w:val="24"/>
      <w:lang/>
    </w:rPr>
  </w:style>
  <w:style w:type="paragraph" w:styleId="Titolo4">
    <w:name w:val="heading 4"/>
    <w:basedOn w:val="Normale"/>
    <w:next w:val="Normale"/>
    <w:link w:val="Titolo4Carattere"/>
    <w:uiPriority w:val="9"/>
    <w:qFormat/>
    <w:pPr>
      <w:keepNext/>
      <w:keepLines/>
      <w:spacing w:before="40" w:after="0"/>
      <w:outlineLvl w:val="3"/>
    </w:pPr>
    <w:rPr>
      <w:rFonts w:ascii="Calibri Light" w:hAnsi="Calibri Light" w:cs="Times New Roman"/>
      <w:i/>
      <w:iCs/>
      <w:color w:val="2E74B5"/>
      <w:sz w:val="20"/>
      <w:szCs w:val="20"/>
      <w:lang/>
    </w:rPr>
  </w:style>
  <w:style w:type="paragraph" w:styleId="Titolo5">
    <w:name w:val="heading 5"/>
    <w:basedOn w:val="Normale"/>
    <w:next w:val="Normale"/>
    <w:link w:val="Titolo5Carattere"/>
    <w:uiPriority w:val="9"/>
    <w:qFormat/>
    <w:pPr>
      <w:keepNext/>
      <w:keepLines/>
      <w:spacing w:before="40" w:after="0"/>
      <w:outlineLvl w:val="4"/>
    </w:pPr>
    <w:rPr>
      <w:rFonts w:ascii="Calibri Light" w:hAnsi="Calibri Light" w:cs="Times New Roman"/>
      <w:color w:val="2E74B5"/>
      <w:sz w:val="20"/>
      <w:szCs w:val="20"/>
      <w:lang/>
    </w:rPr>
  </w:style>
  <w:style w:type="paragraph" w:styleId="Titolo6">
    <w:name w:val="heading 6"/>
    <w:basedOn w:val="Normale"/>
    <w:next w:val="Normale"/>
    <w:link w:val="Titolo6Carattere"/>
    <w:uiPriority w:val="9"/>
    <w:qFormat/>
    <w:pPr>
      <w:keepNext/>
      <w:keepLines/>
      <w:spacing w:before="40" w:after="0"/>
      <w:outlineLvl w:val="5"/>
    </w:pPr>
    <w:rPr>
      <w:rFonts w:ascii="Calibri Light" w:hAnsi="Calibri Light" w:cs="Times New Roman"/>
      <w:color w:val="1F4E79"/>
      <w:sz w:val="20"/>
      <w:szCs w:val="20"/>
      <w:lang/>
    </w:rPr>
  </w:style>
  <w:style w:type="paragraph" w:styleId="Titolo7">
    <w:name w:val="heading 7"/>
    <w:basedOn w:val="Normale"/>
    <w:next w:val="Normale"/>
    <w:link w:val="Titolo7Carattere"/>
    <w:uiPriority w:val="9"/>
    <w:qFormat/>
    <w:pPr>
      <w:keepNext/>
      <w:keepLines/>
      <w:spacing w:before="40" w:after="0"/>
      <w:outlineLvl w:val="6"/>
    </w:pPr>
    <w:rPr>
      <w:rFonts w:ascii="Calibri Light" w:hAnsi="Calibri Light" w:cs="Times New Roman"/>
      <w:i/>
      <w:iCs/>
      <w:color w:val="1F4E79"/>
      <w:sz w:val="20"/>
      <w:szCs w:val="20"/>
      <w:lang/>
    </w:rPr>
  </w:style>
  <w:style w:type="paragraph" w:styleId="Titolo8">
    <w:name w:val="heading 8"/>
    <w:basedOn w:val="Normale"/>
    <w:next w:val="Normale"/>
    <w:link w:val="Titolo8Carattere"/>
    <w:uiPriority w:val="9"/>
    <w:qFormat/>
    <w:pPr>
      <w:keepNext/>
      <w:keepLines/>
      <w:spacing w:before="40" w:after="0"/>
      <w:outlineLvl w:val="7"/>
    </w:pPr>
    <w:rPr>
      <w:rFonts w:ascii="Calibri Light" w:hAnsi="Calibri Light" w:cs="Times New Roman"/>
      <w:color w:val="262626"/>
      <w:sz w:val="21"/>
      <w:szCs w:val="21"/>
      <w:lang/>
    </w:rPr>
  </w:style>
  <w:style w:type="paragraph" w:styleId="Titolo9">
    <w:name w:val="heading 9"/>
    <w:basedOn w:val="Normale"/>
    <w:next w:val="Normale"/>
    <w:link w:val="Titolo9Carattere"/>
    <w:uiPriority w:val="9"/>
    <w:qFormat/>
    <w:pPr>
      <w:keepNext/>
      <w:keepLines/>
      <w:spacing w:before="40" w:after="0"/>
      <w:outlineLvl w:val="8"/>
    </w:pPr>
    <w:rPr>
      <w:rFonts w:ascii="Calibri Light" w:hAnsi="Calibri Light" w:cs="Times New Roman"/>
      <w:i/>
      <w:iCs/>
      <w:color w:val="262626"/>
      <w:sz w:val="21"/>
      <w:szCs w:val="21"/>
      <w:lang/>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pPr>
      <w:spacing w:after="0" w:line="240" w:lineRule="auto"/>
      <w:contextualSpacing/>
    </w:pPr>
    <w:rPr>
      <w:rFonts w:ascii="Calibri Light" w:hAnsi="Calibri Light" w:cs="Times New Roman"/>
      <w:spacing w:val="-10"/>
      <w:sz w:val="56"/>
      <w:szCs w:val="56"/>
      <w:lang/>
    </w:rPr>
  </w:style>
  <w:style w:type="character" w:customStyle="1" w:styleId="TitoloCarattere">
    <w:name w:val="Titolo Carattere"/>
    <w:link w:val="Titolo"/>
    <w:uiPriority w:val="10"/>
    <w:rPr>
      <w:rFonts w:ascii="Calibri Light" w:eastAsia="SimSun" w:hAnsi="Calibri Light" w:cs="Times New Roman"/>
      <w:spacing w:val="-10"/>
      <w:sz w:val="56"/>
      <w:szCs w:val="56"/>
    </w:rPr>
  </w:style>
  <w:style w:type="paragraph" w:styleId="Sottotitolo">
    <w:name w:val="Subtitle"/>
    <w:basedOn w:val="Normale"/>
    <w:next w:val="Normale"/>
    <w:link w:val="SottotitoloCarattere"/>
    <w:uiPriority w:val="11"/>
    <w:qFormat/>
    <w:pPr>
      <w:numPr>
        <w:ilvl w:val="1"/>
      </w:numPr>
    </w:pPr>
    <w:rPr>
      <w:rFonts w:cs="Times New Roman"/>
      <w:color w:val="5A5A5A"/>
      <w:spacing w:val="15"/>
      <w:sz w:val="20"/>
      <w:szCs w:val="20"/>
      <w:lang/>
    </w:rPr>
  </w:style>
  <w:style w:type="character" w:customStyle="1" w:styleId="SottotitoloCarattere">
    <w:name w:val="Sottotitolo Carattere"/>
    <w:link w:val="Sottotitolo"/>
    <w:uiPriority w:val="11"/>
    <w:rPr>
      <w:color w:val="5A5A5A"/>
      <w:spacing w:val="15"/>
    </w:rPr>
  </w:style>
  <w:style w:type="character" w:customStyle="1" w:styleId="Titolo1Carattere">
    <w:name w:val="Titolo 1 Carattere"/>
    <w:link w:val="Titolo1"/>
    <w:uiPriority w:val="9"/>
    <w:rPr>
      <w:rFonts w:ascii="Calibri Light" w:eastAsia="SimSun" w:hAnsi="Calibri Light" w:cs="Times New Roman"/>
      <w:color w:val="2E74B5"/>
      <w:sz w:val="32"/>
      <w:szCs w:val="32"/>
    </w:rPr>
  </w:style>
  <w:style w:type="character" w:customStyle="1" w:styleId="Titolo2Carattere">
    <w:name w:val="Titolo 2 Carattere"/>
    <w:link w:val="Titolo2"/>
    <w:uiPriority w:val="9"/>
    <w:rPr>
      <w:rFonts w:ascii="Calibri Light" w:eastAsia="SimSun" w:hAnsi="Calibri Light" w:cs="Times New Roman"/>
      <w:color w:val="2E74B5"/>
      <w:sz w:val="28"/>
      <w:szCs w:val="28"/>
    </w:rPr>
  </w:style>
  <w:style w:type="character" w:customStyle="1" w:styleId="Titolo3Carattere">
    <w:name w:val="Titolo 3 Carattere"/>
    <w:link w:val="Titolo3"/>
    <w:uiPriority w:val="9"/>
    <w:rPr>
      <w:rFonts w:ascii="Calibri Light" w:eastAsia="SimSun" w:hAnsi="Calibri Light" w:cs="Times New Roman"/>
      <w:color w:val="1F4E79"/>
      <w:sz w:val="24"/>
      <w:szCs w:val="24"/>
    </w:rPr>
  </w:style>
  <w:style w:type="character" w:customStyle="1" w:styleId="Titolo4Carattere">
    <w:name w:val="Titolo 4 Carattere"/>
    <w:link w:val="Titolo4"/>
    <w:uiPriority w:val="9"/>
    <w:rPr>
      <w:rFonts w:ascii="Calibri Light" w:eastAsia="SimSun" w:hAnsi="Calibri Light" w:cs="Times New Roman"/>
      <w:i/>
      <w:iCs/>
      <w:color w:val="2E74B5"/>
    </w:rPr>
  </w:style>
  <w:style w:type="character" w:customStyle="1" w:styleId="Titolo5Carattere">
    <w:name w:val="Titolo 5 Carattere"/>
    <w:link w:val="Titolo5"/>
    <w:uiPriority w:val="9"/>
    <w:rPr>
      <w:rFonts w:ascii="Calibri Light" w:eastAsia="SimSun" w:hAnsi="Calibri Light" w:cs="Times New Roman"/>
      <w:color w:val="2E74B5"/>
    </w:rPr>
  </w:style>
  <w:style w:type="character" w:customStyle="1" w:styleId="Titolo6Carattere">
    <w:name w:val="Titolo 6 Carattere"/>
    <w:link w:val="Titolo6"/>
    <w:uiPriority w:val="9"/>
    <w:rPr>
      <w:rFonts w:ascii="Calibri Light" w:eastAsia="SimSun" w:hAnsi="Calibri Light" w:cs="Times New Roman"/>
      <w:color w:val="1F4E79"/>
    </w:rPr>
  </w:style>
  <w:style w:type="character" w:customStyle="1" w:styleId="Titolo7Carattere">
    <w:name w:val="Titolo 7 Carattere"/>
    <w:link w:val="Titolo7"/>
    <w:uiPriority w:val="9"/>
    <w:rPr>
      <w:rFonts w:ascii="Calibri Light" w:eastAsia="SimSun" w:hAnsi="Calibri Light" w:cs="Times New Roman"/>
      <w:i/>
      <w:iCs/>
      <w:color w:val="1F4E79"/>
    </w:rPr>
  </w:style>
  <w:style w:type="character" w:customStyle="1" w:styleId="Titolo8Carattere">
    <w:name w:val="Titolo 8 Carattere"/>
    <w:link w:val="Titolo8"/>
    <w:uiPriority w:val="9"/>
    <w:rPr>
      <w:rFonts w:ascii="Calibri Light" w:eastAsia="SimSun" w:hAnsi="Calibri Light" w:cs="Times New Roman"/>
      <w:color w:val="262626"/>
      <w:sz w:val="21"/>
      <w:szCs w:val="21"/>
    </w:rPr>
  </w:style>
  <w:style w:type="character" w:customStyle="1" w:styleId="Titolo9Carattere">
    <w:name w:val="Titolo 9 Carattere"/>
    <w:link w:val="Titolo9"/>
    <w:uiPriority w:val="9"/>
    <w:rPr>
      <w:rFonts w:ascii="Calibri Light" w:eastAsia="SimSun" w:hAnsi="Calibri Light" w:cs="Times New Roman"/>
      <w:i/>
      <w:iCs/>
      <w:color w:val="262626"/>
      <w:sz w:val="21"/>
      <w:szCs w:val="21"/>
    </w:rPr>
  </w:style>
  <w:style w:type="character" w:styleId="Enfasidelicata">
    <w:name w:val="Subtle Emphasis"/>
    <w:uiPriority w:val="19"/>
    <w:qFormat/>
    <w:rPr>
      <w:i/>
      <w:iCs/>
      <w:color w:val="404040"/>
    </w:rPr>
  </w:style>
  <w:style w:type="character" w:styleId="Enfasicorsivo">
    <w:name w:val="Emphasis"/>
    <w:uiPriority w:val="20"/>
    <w:qFormat/>
    <w:rPr>
      <w:i/>
      <w:iCs/>
      <w:color w:val="auto"/>
    </w:rPr>
  </w:style>
  <w:style w:type="character" w:styleId="Enfasiintensa">
    <w:name w:val="Intense Emphasis"/>
    <w:uiPriority w:val="21"/>
    <w:qFormat/>
    <w:rPr>
      <w:i/>
      <w:iCs/>
      <w:color w:val="5B9BD5"/>
    </w:rPr>
  </w:style>
  <w:style w:type="character" w:styleId="Enfasigrassetto">
    <w:name w:val="Strong"/>
    <w:uiPriority w:val="22"/>
    <w:qFormat/>
    <w:rPr>
      <w:b/>
      <w:bCs/>
      <w:color w:val="auto"/>
    </w:rPr>
  </w:style>
  <w:style w:type="paragraph" w:styleId="Citazione">
    <w:name w:val="Quote"/>
    <w:basedOn w:val="Normale"/>
    <w:next w:val="Normale"/>
    <w:link w:val="CitazioneCarattere"/>
    <w:uiPriority w:val="29"/>
    <w:qFormat/>
    <w:pPr>
      <w:spacing w:before="200"/>
      <w:ind w:left="864" w:right="864"/>
    </w:pPr>
    <w:rPr>
      <w:rFonts w:cs="Times New Roman"/>
      <w:i/>
      <w:iCs/>
      <w:color w:val="404040"/>
      <w:sz w:val="20"/>
      <w:szCs w:val="20"/>
      <w:lang/>
    </w:rPr>
  </w:style>
  <w:style w:type="character" w:customStyle="1" w:styleId="CitazioneCarattere">
    <w:name w:val="Citazione Carattere"/>
    <w:link w:val="Citazione"/>
    <w:uiPriority w:val="29"/>
    <w:rPr>
      <w:i/>
      <w:iCs/>
      <w:color w:val="404040"/>
    </w:rPr>
  </w:style>
  <w:style w:type="paragraph" w:styleId="Citazioneintensa">
    <w:name w:val="Intense Quote"/>
    <w:basedOn w:val="Normale"/>
    <w:next w:val="Normale"/>
    <w:link w:val="CitazioneintensaCarattere"/>
    <w:uiPriority w:val="30"/>
    <w:qFormat/>
    <w:pPr>
      <w:pBdr>
        <w:top w:val="single" w:sz="4" w:space="10" w:color="5B9BD5"/>
        <w:bottom w:val="single" w:sz="4" w:space="10" w:color="5B9BD5"/>
      </w:pBdr>
      <w:spacing w:before="360" w:after="360"/>
      <w:ind w:left="864" w:right="864"/>
      <w:jc w:val="center"/>
    </w:pPr>
    <w:rPr>
      <w:rFonts w:cs="Times New Roman"/>
      <w:i/>
      <w:iCs/>
      <w:color w:val="5B9BD5"/>
      <w:sz w:val="20"/>
      <w:szCs w:val="20"/>
      <w:lang/>
    </w:rPr>
  </w:style>
  <w:style w:type="character" w:customStyle="1" w:styleId="CitazioneintensaCarattere">
    <w:name w:val="Citazione intensa Carattere"/>
    <w:link w:val="Citazioneintensa"/>
    <w:uiPriority w:val="30"/>
    <w:rPr>
      <w:i/>
      <w:iCs/>
      <w:color w:val="5B9BD5"/>
    </w:rPr>
  </w:style>
  <w:style w:type="character" w:styleId="Riferimentodelicato">
    <w:name w:val="Subtle Reference"/>
    <w:uiPriority w:val="31"/>
    <w:qFormat/>
    <w:rPr>
      <w:smallCaps/>
      <w:color w:val="404040"/>
    </w:rPr>
  </w:style>
  <w:style w:type="character" w:styleId="Riferimentointenso">
    <w:name w:val="Intense Reference"/>
    <w:uiPriority w:val="32"/>
    <w:qFormat/>
    <w:rPr>
      <w:b/>
      <w:bCs/>
      <w:smallCaps/>
      <w:color w:val="5B9BD5"/>
      <w:spacing w:val="5"/>
    </w:rPr>
  </w:style>
  <w:style w:type="character" w:styleId="Titolodellibro">
    <w:name w:val="Book Title"/>
    <w:uiPriority w:val="33"/>
    <w:qFormat/>
    <w:rPr>
      <w:b/>
      <w:bCs/>
      <w:i/>
      <w:iCs/>
      <w:spacing w:val="5"/>
    </w:rPr>
  </w:style>
  <w:style w:type="paragraph" w:styleId="Didascalia">
    <w:name w:val="caption"/>
    <w:basedOn w:val="Normale"/>
    <w:next w:val="Normale"/>
    <w:uiPriority w:val="35"/>
    <w:qFormat/>
    <w:pPr>
      <w:spacing w:after="200" w:line="240" w:lineRule="auto"/>
    </w:pPr>
    <w:rPr>
      <w:i/>
      <w:iCs/>
      <w:color w:val="44546A"/>
      <w:sz w:val="18"/>
      <w:szCs w:val="18"/>
    </w:rPr>
  </w:style>
  <w:style w:type="paragraph" w:styleId="Titolosommario">
    <w:name w:val="TOC Heading"/>
    <w:basedOn w:val="Titolo1"/>
    <w:next w:val="Normale"/>
    <w:uiPriority w:val="39"/>
    <w:qFormat/>
    <w:pPr>
      <w:outlineLvl w:val="9"/>
    </w:pPr>
  </w:style>
  <w:style w:type="paragraph" w:styleId="Nessunaspaziatura">
    <w:name w:val="No Spacing"/>
    <w:uiPriority w:val="1"/>
    <w:qFormat/>
    <w:rPr>
      <w:sz w:val="22"/>
      <w:szCs w:val="22"/>
      <w:lang w:val="en-US" w:eastAsia="ja-JP"/>
    </w:rPr>
  </w:style>
  <w:style w:type="paragraph" w:styleId="Corpodeltesto">
    <w:name w:val="Body Text"/>
    <w:basedOn w:val="Normale"/>
    <w:link w:val="CorpodeltestoCarattere"/>
    <w:uiPriority w:val="99"/>
    <w:rsid w:val="00FD5E8A"/>
    <w:pPr>
      <w:autoSpaceDE w:val="0"/>
      <w:autoSpaceDN w:val="0"/>
      <w:spacing w:after="0" w:line="240" w:lineRule="auto"/>
      <w:jc w:val="both"/>
    </w:pPr>
    <w:rPr>
      <w:rFonts w:ascii="Times New Roman" w:eastAsia="Times New Roman" w:hAnsi="Times New Roman" w:cs="Times New Roman"/>
      <w:sz w:val="24"/>
      <w:szCs w:val="24"/>
      <w:lang/>
    </w:rPr>
  </w:style>
  <w:style w:type="character" w:customStyle="1" w:styleId="CorpodeltestoCarattere">
    <w:name w:val="Corpo del testo Carattere"/>
    <w:link w:val="Corpodeltesto"/>
    <w:uiPriority w:val="99"/>
    <w:rsid w:val="00FD5E8A"/>
    <w:rPr>
      <w:rFonts w:ascii="Times New Roman" w:eastAsia="Times New Roman" w:hAnsi="Times New Roman" w:cs="Times New Roman"/>
      <w:sz w:val="24"/>
      <w:szCs w:val="24"/>
    </w:rPr>
  </w:style>
  <w:style w:type="paragraph" w:customStyle="1" w:styleId="PlainText">
    <w:name w:val="Plain Text"/>
    <w:basedOn w:val="Normale"/>
    <w:rsid w:val="002D4EA4"/>
    <w:pPr>
      <w:widowControl w:val="0"/>
      <w:spacing w:after="0" w:line="240" w:lineRule="auto"/>
    </w:pPr>
    <w:rPr>
      <w:rFonts w:ascii="Courier New" w:eastAsia="Times New Roman" w:hAnsi="Courier New" w:cs="Times New Roman"/>
      <w:sz w:val="20"/>
      <w:szCs w:val="20"/>
      <w:lang w:val="it-IT" w:eastAsia="it-IT"/>
    </w:rPr>
  </w:style>
  <w:style w:type="paragraph" w:customStyle="1" w:styleId="Testo10modulistica">
    <w:name w:val="Testo 10 modulistica"/>
    <w:basedOn w:val="Normale"/>
    <w:rsid w:val="00EE532A"/>
    <w:pPr>
      <w:widowControl w:val="0"/>
      <w:autoSpaceDE w:val="0"/>
      <w:autoSpaceDN w:val="0"/>
      <w:adjustRightInd w:val="0"/>
      <w:spacing w:after="0" w:line="288" w:lineRule="auto"/>
      <w:ind w:firstLine="360"/>
      <w:jc w:val="both"/>
      <w:textAlignment w:val="center"/>
    </w:pPr>
    <w:rPr>
      <w:rFonts w:ascii="NewAster" w:eastAsia="Calibri" w:hAnsi="NewAster" w:cs="NewAster"/>
      <w:color w:val="000000"/>
      <w:sz w:val="20"/>
      <w:szCs w:val="20"/>
      <w:lang w:val="it-IT" w:eastAsia="it-IT"/>
    </w:rPr>
  </w:style>
</w:styles>
</file>

<file path=word/webSettings.xml><?xml version="1.0" encoding="utf-8"?>
<w:webSettings xmlns:r="http://schemas.openxmlformats.org/officeDocument/2006/relationships" xmlns:w="http://schemas.openxmlformats.org/wordprocessingml/2006/main">
  <w:divs>
    <w:div w:id="16377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abarrini\Desktop\word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CA36B-F29D-4571-939C-7C83E091D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word2013.dotx</Template>
  <TotalTime>0</TotalTime>
  <Pages>4</Pages>
  <Words>1825</Words>
  <Characters>10408</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AMMINISTRAZIONE AGGIUDICATRICE: (INDIRIZZO, NUMERO DI TELEFONO E DI FAX, NONCHÉ INDIRIZZO ELETTRONICO) ………………………………………………………………………………………………………………</vt:lpstr>
    </vt:vector>
  </TitlesOfParts>
  <Company/>
  <LinksUpToDate>false</LinksUpToDate>
  <CharactersWithSpaces>12209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AMMINISTRAZIONE AGGIUDICATRICE: (INDIRIZZO, NUMERO DI TELEFONO E DI FAX, NONCHÉ INDIRIZZO ELETTRONICO) ………………………………………………………………………………………………………………</dc:title>
  <dc:creator>Tabarrini Luca</dc:creator>
  <cp:lastModifiedBy>Silvia</cp:lastModifiedBy>
  <cp:revision>2</cp:revision>
  <dcterms:created xsi:type="dcterms:W3CDTF">2020-11-05T10:49:00Z</dcterms:created>
  <dcterms:modified xsi:type="dcterms:W3CDTF">2020-11-05T10:49:00Z</dcterms:modified>
</cp:coreProperties>
</file>